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BC1FE" w14:textId="77777777" w:rsidR="00AE7703" w:rsidRDefault="00AE7703" w:rsidP="00AE7703">
      <w:pPr>
        <w:jc w:val="center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>ANEXA XI</w:t>
      </w:r>
    </w:p>
    <w:p w14:paraId="0411F375" w14:textId="32E67B56" w:rsidR="00AE7703" w:rsidRPr="00AE7703" w:rsidRDefault="00AE7703" w:rsidP="00AE77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7703">
        <w:rPr>
          <w:rFonts w:ascii="Times New Roman" w:hAnsi="Times New Roman" w:cs="Times New Roman"/>
          <w:b/>
          <w:bCs/>
          <w:sz w:val="24"/>
          <w:szCs w:val="24"/>
        </w:rPr>
        <w:t>NORME GENERALE PENTRU ADAPTAREA REGIMULUI STANDARD DE TESTARE MENŢIONAT ÎN ANEXELE VII-X</w:t>
      </w:r>
    </w:p>
    <w:p w14:paraId="497A0D6F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Anexele VII - X stabilesc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care trebuie aplicate pentru toate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produse sau importate în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cantităţi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de:</w:t>
      </w:r>
    </w:p>
    <w:p w14:paraId="73377DEA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 — cel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o tonă, în conformitate cu articolul 12 alineatul (1) litera (a); </w:t>
      </w:r>
    </w:p>
    <w:p w14:paraId="3126CC17" w14:textId="6A58FEE5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cel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10 tone, în conformitate cu articolul 12 alineatul (1) litera (c); </w:t>
      </w:r>
    </w:p>
    <w:p w14:paraId="543402B7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cel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100 de tone, în conformitate cu articolul 12 alineatul (1) litera (d) și </w:t>
      </w:r>
    </w:p>
    <w:p w14:paraId="27745360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cel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1 000 de tone, în conformitate cu articolul 12 alineatul (1) litera (e). </w:t>
      </w:r>
    </w:p>
    <w:p w14:paraId="456F0DB9" w14:textId="506E5B55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Pe lângă normele specifice prezentate în coloana 2 din anexele VII-X, un solicitant al înregistrării poate adapta regimul standard de testare în conformitate cu normele generale prezentate la punctul 1 din prezenta anexă. În cadrul evaluării dosarului,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Agenţia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poate evalua aceste adaptări la regimul standard de testare. </w:t>
      </w:r>
    </w:p>
    <w:p w14:paraId="43A37FFE" w14:textId="72720132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specifice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din prezenta anexă se aplică fără a se aduce atingere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cerinţelor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aplicabile altor forme ale unei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F67D1A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 TESTAREA NU PARE A FI NECESARĂ DIN PUNCT DE VEDERE ȘTIINŢIFIC </w:t>
      </w:r>
    </w:p>
    <w:p w14:paraId="2D385498" w14:textId="651226EE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1.1. Utilizarea datelor existente </w:t>
      </w:r>
    </w:p>
    <w:p w14:paraId="4C810FEB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Datele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-chimice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urma unor experimente care nu s-au desfășurat în conformitate cu metodele de testare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articolul 13 alineatul (3) </w:t>
      </w:r>
    </w:p>
    <w:p w14:paraId="2822A12C" w14:textId="4F042AEB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1.1.1. </w:t>
      </w:r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Datele privind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proprietăţile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fizico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-chimice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 în urma unor experimente care nu s-au desfășurat în conformitate cu metodele de testare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 la articolul 13 alineatul (3)</w:t>
      </w:r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D8E7F1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Datele sunt considerate ca fiind echivalente cu datele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prin metodele de testare corespunzătoare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articolul 13 alineatul (3), în cazul în care sunt îndeplinite următoarele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7658AA9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 datele sunt adecvate în scopul clasificării și al etichetării și/sau al evaluării riscurilor; </w:t>
      </w:r>
    </w:p>
    <w:p w14:paraId="6CF5D136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2. este furnizată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suficientă pentru a se evalua caracterul adecvat al studiului și </w:t>
      </w:r>
    </w:p>
    <w:p w14:paraId="0626F0BC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 datele sunt valabile pentru efectul investigat și studiul este efectuat folosind un nivel acceptabil de asigurare 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calităţii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7AFE1C" w14:textId="77777777" w:rsidR="00AE7703" w:rsidRPr="00AE7703" w:rsidRDefault="00AE7703" w:rsidP="00AE770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1.1.2. </w:t>
      </w:r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Date privind sănătatea umană și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proprietăţile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 cu impact asupra mediului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 în urma unor experimente care nu s-au desfășurat în conformitate cu BPL sau cu metode de testare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 la articolul 13 alineatul (3) </w:t>
      </w:r>
    </w:p>
    <w:p w14:paraId="0CF90777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Datele sunt considerate ca fiind echivalente cu datele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prin metodele de testare corespunzătoare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articolul 13 alineatul (3), în cazul în care sunt îndeplinite următoarele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30956EE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lastRenderedPageBreak/>
        <w:t xml:space="preserve">1. datele sunt adecvate în scopul clasificării și al etichetării și/sau al evaluării riscurilor; </w:t>
      </w:r>
    </w:p>
    <w:p w14:paraId="61172AA6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2. acoperirea corespunzătoare și de încredere a parametrilor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esenţiali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prevăzuţi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 fi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investigaţi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cu ajutorul metodelor de testare corespunzătoare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articolul 13 alineatul (3); </w:t>
      </w:r>
    </w:p>
    <w:p w14:paraId="4182D057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 durata expunerii este comparabilă cu sau mai mare decât cea prevăzută de metodele de testare corespunzătoare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articolul 13 alineatul (3), în cazul în care durata expunerii constituie un parametru relevant și </w:t>
      </w:r>
    </w:p>
    <w:p w14:paraId="7D829955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4. se furnizează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adecvată și de încredere pentru studiu.</w:t>
      </w:r>
    </w:p>
    <w:p w14:paraId="08B997F0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1.1.3. </w:t>
      </w:r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Date umane din </w:t>
      </w:r>
      <w:proofErr w:type="spellStart"/>
      <w:r w:rsidRPr="00AE7703">
        <w:rPr>
          <w:rFonts w:ascii="Times New Roman" w:hAnsi="Times New Roman" w:cs="Times New Roman"/>
          <w:i/>
          <w:iCs/>
          <w:sz w:val="24"/>
          <w:szCs w:val="24"/>
        </w:rPr>
        <w:t>experienţa</w:t>
      </w:r>
      <w:proofErr w:type="spellEnd"/>
      <w:r w:rsidRPr="00AE7703">
        <w:rPr>
          <w:rFonts w:ascii="Times New Roman" w:hAnsi="Times New Roman" w:cs="Times New Roman"/>
          <w:i/>
          <w:iCs/>
          <w:sz w:val="24"/>
          <w:szCs w:val="24"/>
        </w:rPr>
        <w:t xml:space="preserve"> practică</w:t>
      </w:r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3FE812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Se iau în considerare datele umane din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experienţa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practică, cum ar fi studiile epidemiologice pe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populaţii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expuse și studiile clinice și rezultatele acestora privind expunerea accidentală sau profesională. </w:t>
      </w:r>
    </w:p>
    <w:p w14:paraId="080475AD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Soliditatea datelor pentru un anumit efect asupra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sănătăţii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umane depinde, printre altele, de tipul de analiză și de parametrii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acoperiţi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de amploarea și specificitatea răspunsului și, în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consecinţă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de previzibilitatea efectului. Criteriile de evaluare a caracterului adecvat al datelor includ: </w:t>
      </w:r>
    </w:p>
    <w:p w14:paraId="142705D0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 selectarea și caracterizarea corectă a grupurilor expuse și a grupurilor martor; </w:t>
      </w:r>
    </w:p>
    <w:p w14:paraId="5835CF45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2. o caracterizare corespunzătoare a expunerii; </w:t>
      </w:r>
    </w:p>
    <w:p w14:paraId="5432A5E5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 o durată suficientă de monitorizare 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apariţiei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bolilor; </w:t>
      </w:r>
    </w:p>
    <w:p w14:paraId="194C0C5F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4. o metodă valabilă pentru observarea unui efect; </w:t>
      </w:r>
    </w:p>
    <w:p w14:paraId="1B639A45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5. o analiză corectă a factorilor subiectivi și a celor care creează confuzii și </w:t>
      </w:r>
    </w:p>
    <w:p w14:paraId="4D275A93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6. o fiabilitate statistică rezonabilă pentru justificarea concluziei. </w:t>
      </w:r>
    </w:p>
    <w:p w14:paraId="6B546522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toate cazurile este necesar să se prezinte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corespunzătoare și fiabilă. </w:t>
      </w:r>
    </w:p>
    <w:p w14:paraId="0CCEB8B8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fac obiectul înregistrării, abordarea de mai sus vizează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mod separat. </w:t>
      </w:r>
    </w:p>
    <w:p w14:paraId="67C09BE6" w14:textId="6329AEA1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1.2. </w:t>
      </w:r>
      <w:proofErr w:type="spellStart"/>
      <w:r w:rsidRPr="00AE7703">
        <w:rPr>
          <w:rFonts w:ascii="Times New Roman" w:hAnsi="Times New Roman" w:cs="Times New Roman"/>
          <w:b/>
          <w:bCs/>
          <w:sz w:val="24"/>
          <w:szCs w:val="24"/>
        </w:rPr>
        <w:t>Forţa</w:t>
      </w:r>
      <w:proofErr w:type="spellEnd"/>
      <w:r w:rsidRPr="00AE7703">
        <w:rPr>
          <w:rFonts w:ascii="Times New Roman" w:hAnsi="Times New Roman" w:cs="Times New Roman"/>
          <w:b/>
          <w:bCs/>
          <w:sz w:val="24"/>
          <w:szCs w:val="24"/>
        </w:rPr>
        <w:t xml:space="preserve"> probantă a datelor</w:t>
      </w:r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ECC1A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Forţa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probantă a datelor este suficientă atunci când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provenite din mai multe surse independente permit, printr-o justificare argumentată, formularea unei concluzii cu privire la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în timp ce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din fiecare sursă în parte sunt insuficiente pentru îndeplinirea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Justificarea trebuie să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ţină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seama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care ar fi fost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altfel din studiul care trebuie să fie efectuat în mod normal pentru această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FBD814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De asemenea,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forţa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probantă a datelor poate fi suficientă atunci când se utilizează metode de testare nou elaborate, neincluse încă în metodele de testare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articolul 13 alineatul (3), care să conducă la o justificare argumentată potrivit căreia acestea furnizează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care ar permite formularea unei concluzii cu privire la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3B46BC" w14:textId="57155F74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703">
        <w:rPr>
          <w:rFonts w:ascii="Times New Roman" w:hAnsi="Times New Roman" w:cs="Times New Roman"/>
          <w:sz w:val="24"/>
          <w:szCs w:val="24"/>
        </w:rPr>
        <w:lastRenderedPageBreak/>
        <w:t>Forţa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probantă a datelor poate conduce la concluzia că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are sau nu o anumită proprietate. </w:t>
      </w:r>
    </w:p>
    <w:p w14:paraId="1AE66053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forţa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probantă a datelor este suficientă,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sunt îndeplinite. În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consecinţă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trebuie să se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renunţe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testele suplimentare pe animale vertebrate și se poate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renunţa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alte teste care nu implică animale vertebrate. </w:t>
      </w:r>
    </w:p>
    <w:p w14:paraId="020C0B3C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toate cazurile,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furnizate trebuie să fie adecvate scopului clasificării, etichetării și/sau evaluării riscurilor și trebuie furnizate documente adecvate și fiabile, inclusiv: </w:t>
      </w:r>
    </w:p>
    <w:p w14:paraId="5D231280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sinteze solide ale studiilor utilizate ca surse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DC7D6DA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o justificare care explică de ce sursele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permit împreună formularea unei concluzii cu privire la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EA8817" w14:textId="0973CE33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fac obiectul înregistrării, abordarea de mai sus vizează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mod separat. </w:t>
      </w:r>
    </w:p>
    <w:p w14:paraId="12757A32" w14:textId="3FDD86F0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1.3.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Relaţia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calitativă sau cantitativă structură-activitate [(Q)SAR] Rezultatele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din modelele calitative sau cantitative ale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relaţiei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structură-activitate [(Q)SAR] valabile pot indica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prezenţa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sau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absenţa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unei anumite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periculoase. Rezultatele (Q)SAR-urilor pot fi utilizate în locul testării atunci când sunt îndeplinite următoarele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4672FD4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rezultatele sunt derivate dintr-un model (Q)SAR a cărui valabilitate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știinţifică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 fost deja stabilită; —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intră în domeniul de aplicabilitate a modelului (Q)SAR; </w:t>
      </w:r>
    </w:p>
    <w:p w14:paraId="2E48C7D3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rezultatele sunt adecvate scopului clasificării și al etichetării și/sau al evaluării riscurilor și </w:t>
      </w:r>
    </w:p>
    <w:p w14:paraId="1F2F2A0F" w14:textId="77777777" w:rsid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se prezintă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corespunzătoare și fiabilă pentru metoda aplicată. </w:t>
      </w:r>
    </w:p>
    <w:p w14:paraId="3F26DDB5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703">
        <w:rPr>
          <w:rFonts w:ascii="Times New Roman" w:hAnsi="Times New Roman" w:cs="Times New Roman"/>
          <w:sz w:val="24"/>
          <w:szCs w:val="24"/>
        </w:rPr>
        <w:t>Agenţia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în colaborare cu Comisia, statele membre și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părţile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interesate, elaborează și furnizează orientări pentru stabilirea (Q)SAR-urilor care vor îndeplini aceste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și oferă exemple. </w:t>
      </w:r>
    </w:p>
    <w:p w14:paraId="79734314" w14:textId="51142C7D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fac obiectul înregistrării, abordarea de mai sus vizează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mod separat. </w:t>
      </w:r>
    </w:p>
    <w:p w14:paraId="082B087A" w14:textId="77777777" w:rsidR="00A8176C" w:rsidRPr="00A8176C" w:rsidRDefault="00AE7703" w:rsidP="00AE77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1.4. </w:t>
      </w:r>
      <w:r w:rsidRPr="00A8176C">
        <w:rPr>
          <w:rFonts w:ascii="Times New Roman" w:hAnsi="Times New Roman" w:cs="Times New Roman"/>
          <w:b/>
          <w:bCs/>
          <w:sz w:val="24"/>
          <w:szCs w:val="24"/>
        </w:rPr>
        <w:t xml:space="preserve">Metode </w:t>
      </w:r>
      <w:r w:rsidRPr="00A8176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 vitro</w:t>
      </w:r>
      <w:r w:rsidRPr="00A817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FC417BB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Rezultatele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urma aplicării metodelor in vitro corespunzătoare pot indica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prezenţa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unei anumite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periculoase sau pot fi importante în legătură cu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înţelegere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 mecanismului, ceea ce poate prezenta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importanţă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pentru evaluare. În acest context, „corespunzător” înseamnă un test suficient de elaborat, în conformitate cu criteriile de elaborare a testelor acceptate la nivel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internaţional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[de exemplu criteriile Centrului European pentru Validarea Metodelor Alternative (ECVAM) pentru introducerea unui test în procesul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prevalidare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]. În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funcţie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riscul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potenţial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poate fi necesară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obţinerea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unei confirmări imediate, care impune teste ce vizează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suplimentare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cele prevăzute în anexa VII sau VIII, sau a unei confirmări ulterioare, care impune teste ce vizează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plus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cele prevăzute în anexa IX sau X pentru intervalul cantitativ în cauză. </w:t>
      </w:r>
    </w:p>
    <w:p w14:paraId="3451A6F0" w14:textId="6616478F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rezultatele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urma utilizării unor astfel de metode </w:t>
      </w:r>
      <w:r w:rsidRPr="00A8176C">
        <w:rPr>
          <w:rFonts w:ascii="Times New Roman" w:hAnsi="Times New Roman" w:cs="Times New Roman"/>
          <w:i/>
          <w:iCs/>
          <w:sz w:val="24"/>
          <w:szCs w:val="24"/>
        </w:rPr>
        <w:t>in vitro</w:t>
      </w:r>
      <w:r w:rsidRPr="00AE7703">
        <w:rPr>
          <w:rFonts w:ascii="Times New Roman" w:hAnsi="Times New Roman" w:cs="Times New Roman"/>
          <w:sz w:val="24"/>
          <w:szCs w:val="24"/>
        </w:rPr>
        <w:t xml:space="preserve"> nu indică o anumită proprietate periculoasă, se efectuează totuși testul în cauză pentru intervalul cantitativ </w:t>
      </w:r>
      <w:r w:rsidRPr="00AE7703">
        <w:rPr>
          <w:rFonts w:ascii="Times New Roman" w:hAnsi="Times New Roman" w:cs="Times New Roman"/>
          <w:sz w:val="24"/>
          <w:szCs w:val="24"/>
        </w:rPr>
        <w:lastRenderedPageBreak/>
        <w:t xml:space="preserve">corespunzător, în vederea confirmării rezultatului negativ, cu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excepţia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cazului în care testele nu sunt necesare în conformitate cu anexele VII-X sau cu alte norme din prezenta anexă. </w:t>
      </w:r>
    </w:p>
    <w:p w14:paraId="4D83BC42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Se poate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renunţa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o astfel de confirmare, în cazul în care sunt îndeplinite următoarele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6AE71F7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 rezultatele sunt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printr-o metodă in vitro a cărei valabilitate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știinţifică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 fost stabilită printr-un studiu de validare, în conformitate cu principii de validare acceptate la nivel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internaţional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B88882A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2. rezultatele sunt adecvate scopului clasificării, al etichetării și al evaluării riscurilor și </w:t>
      </w:r>
    </w:p>
    <w:p w14:paraId="3C14A2AA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 se prezintă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corespunzătoare și fiabilă pentru metoda aplicată. </w:t>
      </w:r>
    </w:p>
    <w:p w14:paraId="7E624444" w14:textId="084E3A06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fac obiectul înregistrării, abordarea de mai sus de la punctele 1-3 vizează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mod separat. </w:t>
      </w:r>
    </w:p>
    <w:p w14:paraId="6E20B8E6" w14:textId="78623D9F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1.5. </w:t>
      </w:r>
      <w:r w:rsidRPr="00A8176C">
        <w:rPr>
          <w:rFonts w:ascii="Times New Roman" w:hAnsi="Times New Roman" w:cs="Times New Roman"/>
          <w:b/>
          <w:bCs/>
          <w:sz w:val="24"/>
          <w:szCs w:val="24"/>
        </w:rPr>
        <w:t xml:space="preserve">Gruparea </w:t>
      </w:r>
      <w:proofErr w:type="spellStart"/>
      <w:r w:rsidRPr="00A8176C">
        <w:rPr>
          <w:rFonts w:ascii="Times New Roman" w:hAnsi="Times New Roman" w:cs="Times New Roman"/>
          <w:b/>
          <w:bCs/>
          <w:sz w:val="24"/>
          <w:szCs w:val="24"/>
        </w:rPr>
        <w:t>substanţelor</w:t>
      </w:r>
      <w:proofErr w:type="spellEnd"/>
      <w:r w:rsidRPr="00A8176C">
        <w:rPr>
          <w:rFonts w:ascii="Times New Roman" w:hAnsi="Times New Roman" w:cs="Times New Roman"/>
          <w:b/>
          <w:bCs/>
          <w:sz w:val="24"/>
          <w:szCs w:val="24"/>
        </w:rPr>
        <w:t xml:space="preserve"> și abordarea prin extrapolare</w:t>
      </w:r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182C99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ale căror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-chimice, toxicologice și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ecotoxicologice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sunt probabil similare sau urmează un model sistematic, ca urmare a similitudinii structurale, pot fi considerate ca formând un grup sau o categorie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Aplicarea conceptului de grup trebuie să se bazeze pe ipoteza că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-chimice, efectele asupra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sănătăţii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umane și efectele asupra mediului sau comportamentul în mediu pot fi anticipate cu ajutorul datelor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pentru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(mai multe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)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referinţă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din cadrul grupului prin extrapolarea altor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din grup (abordarea prin extrapolare). Această metodă permite evitarea testării fiecărei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pentru fiecare efect. </w:t>
      </w:r>
    </w:p>
    <w:p w14:paraId="3D00A12E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fac obiectul înregistrării, abordarea de mai sus vizează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mod separat. Pentru gruparea diferitelor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ale aceleiași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doar similitudinile structurale moleculare nu pot servi drept justificare. </w:t>
      </w:r>
    </w:p>
    <w:p w14:paraId="5CF700B6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cazul în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care fac obiectul înregistrării sunt grupate sau plasate într-o „categorie” cu alte forme, inclusiv alte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nanoforme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ale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cadrul aceleiași înregistrări,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obligaţiile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mai sus se aplică în același mod. </w:t>
      </w:r>
    </w:p>
    <w:p w14:paraId="4A1F1FB4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Similitudinile se pot baza pe oricare dintre următoarele elemente: </w:t>
      </w:r>
    </w:p>
    <w:p w14:paraId="31DDC854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1. o grupare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funcţională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comună; </w:t>
      </w:r>
    </w:p>
    <w:p w14:paraId="526F5303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2. precursori comuni și/sau probabilitatea formării unor produși de descompunere comuni în urma proceselor fizice și biologice, generând produse chimice similare din punct de vedere structural; </w:t>
      </w:r>
    </w:p>
    <w:p w14:paraId="3DC0115C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 un model constant al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variaţiei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intensităţii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cadrul categoriei. </w:t>
      </w:r>
    </w:p>
    <w:p w14:paraId="5E30F8F1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Similitudinea structurală 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UVCB se stabilește pe baza similitudinilor dintre structurile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constituenţilor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și pe baza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concentraţiei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acestor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constituenţi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și 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variabilităţii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concentraţiei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acestor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constituenţi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În cazul în care se poate demonstra că identificarea tuturor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constituenţilor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individuali nu este posibilă sau nu poate fi aplicată în practică din punct de vedere tehnic, similitudinea structurală poate fi demonstrată prin alte mijloace, pentru a permite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comparaţie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cantitativă și calitativă 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compoziţiei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reale între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4D50A1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lastRenderedPageBreak/>
        <w:t xml:space="preserve">În cazul în care se aplică conceptul de grup,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sunt clasificate și etichetate pe această bază. </w:t>
      </w:r>
    </w:p>
    <w:p w14:paraId="2213D464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toate cazurile, rezultatele trebuie să îndeplinească toate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următoare:</w:t>
      </w:r>
    </w:p>
    <w:p w14:paraId="230A2356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 — să fie adecvate scopului clasificării și al etichetării și/sau al evaluării riscurilor; </w:t>
      </w:r>
    </w:p>
    <w:p w14:paraId="5CDD4DFF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să aibă o acoperire adecvată și fiabilă a parametrilor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esenţiali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utilizaţi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studiul corespunzător, care trebuie în mod normal să fie efectuat pentru o anumită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361886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să acopere o durată de expunere comparabilă cu sau mai mare decât studiul corespunzător care este în mod normal efectuat pentru o anumită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cerinţă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în cazul în care durata expunerii este un parametru relevant. </w:t>
      </w:r>
    </w:p>
    <w:p w14:paraId="2F28651F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În toate cazurile, trebuie să fie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însoţite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corespunzătoare și fiabilă pentru metoda aplicată. O astfel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include: </w:t>
      </w:r>
    </w:p>
    <w:p w14:paraId="3DCD6446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>— o sinteză solidă a fiecărui studiu-sursă utilizat în procesul de adaptare;</w:t>
      </w:r>
    </w:p>
    <w:p w14:paraId="2E648C0B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explicaţie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 motivelor pentru care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înregistrate pot fi anticipate pe baza altor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din grup; </w:t>
      </w:r>
    </w:p>
    <w:p w14:paraId="31935E2F" w14:textId="7D9101D8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care să justifice din punct de vedere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știinţific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o astfel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explicaţie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pentru anticiparea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12D3E8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2. TESTAREA NU ESTE POSIBILĂ DIN PUNCT DE VEDERE TEHNIC </w:t>
      </w:r>
    </w:p>
    <w:p w14:paraId="0DA2FBFC" w14:textId="40A9982A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Se pot omite testele pentru un anumit efect, în cazul în care nu este posibilă efectuarea studiului din punct de vedere tehnic, ca urmare 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proprietăţilor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: de exemplu nu se pot utiliza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foarte volatile, foarte reactive sau instabile, amestecarea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cu apa poate genera pericol de incendiu sau de explozie sau nu este posibilă marcarea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cu izotopi radioactivi, necesară în anumite studii. Este necesar să fie respectate în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permanenţă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orientările prevăzute în metodele de testare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la articolul 13 alineatul (3), în special pe cele privind limitările tehnice ale unei anumite metode. </w:t>
      </w:r>
    </w:p>
    <w:p w14:paraId="29A4481C" w14:textId="1E6F30A4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 TESTE REFERITOARE LA EXPUNERE ADAPTATE PENTRU O ANUMITĂ SUBSTANŢĂ </w:t>
      </w:r>
    </w:p>
    <w:p w14:paraId="4F66FD26" w14:textId="3D0A7E89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3.1. Se pot omite testele efectuate în conformitate cu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secţiunea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8.7 din anexa VIII și în conformitate cu anexele IX și X, pe baza scenariului (scenariilor) de expunere elaborat(e) în raportul de securitate chimică. Testele efectuate în conformitate cu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secţiunea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8.6.1 din anexa VIII pot fi omise numai pentru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solicitanţii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înregistrării care produc mai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100 de tone anual pentru fiecare producător sau importator, pe baza scenariului (scenariilor) de expunere elaborat(e) în raportul de securitate chimică. </w:t>
      </w:r>
    </w:p>
    <w:p w14:paraId="17918CFF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3.2. În toate cazurile, este necesar să se furnizeze o justificare și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documentaţie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corespunzătoare. Respectiva justificare se bazează pe o evaluare completă și riguroasă a expunerii în conformitate cu anexa I punctul 5 și respectă oricare dintre următoarele criterii: </w:t>
      </w:r>
    </w:p>
    <w:p w14:paraId="74DAF91C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(a) producătorul sau importatorul demonstrează, pe bază de documente, că sunt îndeplinite toate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mai jos: </w:t>
      </w:r>
    </w:p>
    <w:p w14:paraId="2D0A90E6" w14:textId="09659389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lastRenderedPageBreak/>
        <w:t xml:space="preserve">(i) rezultatele evaluării expunerii, care acoperă toate expunerile relevante din ciclul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viaţă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demonstrează că expunerea este absentă sau foarte redusă în toate scenariile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producţie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și în toate utilizările identificate,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anexa VI punctul 3.5; </w:t>
      </w:r>
    </w:p>
    <w:p w14:paraId="71405066" w14:textId="4B595510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(ii) DNEL sau PNEC pot fi derivate pe baza rezultatelor datelor disponibile ale testelor privind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în cauză,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ţinând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 deplin seama de incertitudinea crescută care rezultă din omisiunea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solicitate și de faptul că DNEL sau PNEC sunt relevante și corespunzătoare atât în cazul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informaţiei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solicitate, care urmează să fie omisă, cât și în scopurile evaluării riscului. În acest scop și fără a aduce atingere coloanei 2 din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secţiunile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8.6 și 8.7 din anexele IX și X, un DNEL derivat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dintro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studiu de toxicitate la doză repetată de 28 de zile nu este considerat adecvat pentru a omite un studiu de toxicitate în doză repetată de 90 de zile, iar un DNEL derivat dintr-un test de depistare 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toxicităţii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pentru reproducere/asupra dezvoltării nu este considerat corespunzător pentru a omite un studiu privind toxicitatea în stadiul de dezvoltare prenatală sau un studiu extins de toxicitate pentru reproducere pe o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generaţie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BB11B0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(iii)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comparaţia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dintre DNEL sau PNEC derivate și rezultatele evaluării expunerii arată că expunerile sunt întotdeauna inferioare valorilor DNEL sau PNEC derivate; </w:t>
      </w:r>
    </w:p>
    <w:p w14:paraId="208CEF1F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(b) atunci când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nu este încorporată într-un articol, producătorul sau importatorul demonstrează, pe bază de documente, pentru toate scenariile, că pe parcursul întregului ciclu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viaţă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se aplică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strict controlate prevăzute la articolul 18 alineatul (4) literele (a)-(f); </w:t>
      </w:r>
    </w:p>
    <w:p w14:paraId="733899F2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(c) atunci când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este încorporată într-un articol în care este permanent integrată într-o matrice sau inclusă riguros prin mijloace tehnice, se demonstrează, pe bază de documente, că sunt îndeplinite toate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mai jos: </w:t>
      </w:r>
    </w:p>
    <w:p w14:paraId="313AFF41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(i)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nu este eliberată pe parcursul ciclului său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viaţă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0194AEE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(ii) este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probabil ca muncitorii sau publicul general sau mediul să fie expuși la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respectivă în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utilizare normale sau care pot fi în mod rezonabil prevăzute; și </w:t>
      </w:r>
    </w:p>
    <w:p w14:paraId="63C215AC" w14:textId="77777777" w:rsidR="00A8176C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(iii)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este manevrată în conformitate cu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prevăzute la articolul 18 alineatul (4) literele (a)-(f) pe parcursul tuturor stadiilor de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producţie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, inclusiv în ceea ce privește gestionarea deșeurilor provenite de la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respectivă pe parcursul acestor stadii. </w:t>
      </w:r>
    </w:p>
    <w:p w14:paraId="12E9A2AF" w14:textId="255C5F55" w:rsidR="000809BD" w:rsidRPr="00AE7703" w:rsidRDefault="00AE7703" w:rsidP="00AE7703">
      <w:pPr>
        <w:jc w:val="both"/>
        <w:rPr>
          <w:rFonts w:ascii="Times New Roman" w:hAnsi="Times New Roman" w:cs="Times New Roman"/>
          <w:sz w:val="24"/>
          <w:szCs w:val="24"/>
        </w:rPr>
      </w:pPr>
      <w:r w:rsidRPr="00AE7703">
        <w:rPr>
          <w:rFonts w:ascii="Times New Roman" w:hAnsi="Times New Roman" w:cs="Times New Roman"/>
          <w:sz w:val="24"/>
          <w:szCs w:val="24"/>
        </w:rPr>
        <w:t xml:space="preserve">3.3.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specifice de utilizare trebuie comunicate prin intermediul </w:t>
      </w:r>
      <w:proofErr w:type="spellStart"/>
      <w:r w:rsidRPr="00AE7703">
        <w:rPr>
          <w:rFonts w:ascii="Times New Roman" w:hAnsi="Times New Roman" w:cs="Times New Roman"/>
          <w:sz w:val="24"/>
          <w:szCs w:val="24"/>
        </w:rPr>
        <w:t>lanţului</w:t>
      </w:r>
      <w:proofErr w:type="spellEnd"/>
      <w:r w:rsidRPr="00AE7703">
        <w:rPr>
          <w:rFonts w:ascii="Times New Roman" w:hAnsi="Times New Roman" w:cs="Times New Roman"/>
          <w:sz w:val="24"/>
          <w:szCs w:val="24"/>
        </w:rPr>
        <w:t xml:space="preserve"> de aprovizionare, în conformitate cu articolul 31 sau cu articolul 32, după caz.</w:t>
      </w:r>
    </w:p>
    <w:sectPr w:rsidR="000809BD" w:rsidRPr="00AE770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44A"/>
    <w:rsid w:val="00002292"/>
    <w:rsid w:val="000809BD"/>
    <w:rsid w:val="0012744A"/>
    <w:rsid w:val="001661B9"/>
    <w:rsid w:val="00A8176C"/>
    <w:rsid w:val="00AE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7B260"/>
  <w15:chartTrackingRefBased/>
  <w15:docId w15:val="{2643D9AA-1489-4B35-A7D1-33503362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E7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2450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Țurcan Anastasia</dc:creator>
  <cp:keywords/>
  <dc:description/>
  <cp:lastModifiedBy>Carolina Banaru</cp:lastModifiedBy>
  <cp:revision>2</cp:revision>
  <dcterms:created xsi:type="dcterms:W3CDTF">2023-12-18T09:25:00Z</dcterms:created>
  <dcterms:modified xsi:type="dcterms:W3CDTF">2023-12-18T09:25:00Z</dcterms:modified>
</cp:coreProperties>
</file>